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94210" w14:textId="48D16519" w:rsidR="00A6714B" w:rsidRDefault="001A68C9" w:rsidP="00A6714B">
      <w:pPr>
        <w:pStyle w:val="Heading1"/>
        <w:rPr>
          <w:rFonts w:ascii="Arial" w:hAnsi="Arial" w:cs="Arial"/>
          <w:b/>
          <w:bCs/>
          <w:color w:val="auto"/>
          <w:sz w:val="24"/>
          <w:szCs w:val="24"/>
        </w:rPr>
      </w:pPr>
      <w:r>
        <w:rPr>
          <w:rFonts w:ascii="Arial" w:hAnsi="Arial" w:cs="Arial"/>
          <w:b/>
          <w:bCs/>
          <w:color w:val="auto"/>
          <w:sz w:val="24"/>
          <w:szCs w:val="24"/>
        </w:rPr>
        <w:t xml:space="preserve">NEXTGEN MD FORM </w:t>
      </w:r>
    </w:p>
    <w:p w14:paraId="690EFB94" w14:textId="77777777" w:rsidR="00A6714B" w:rsidRPr="00A6714B" w:rsidRDefault="00A6714B" w:rsidP="00A6714B">
      <w:pPr>
        <w:rPr>
          <w:sz w:val="10"/>
          <w:szCs w:val="10"/>
        </w:rPr>
      </w:pPr>
    </w:p>
    <w:p w14:paraId="67BE7F84" w14:textId="5B2A7CD2" w:rsidR="001A68C9" w:rsidRPr="001A68C9" w:rsidRDefault="00CB79E7" w:rsidP="001C2EA4">
      <w:pPr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Please note that the premarket registration submission requirements per GN-15 still applies. </w:t>
      </w:r>
      <w:r w:rsidR="001A68C9" w:rsidRPr="001A68C9">
        <w:rPr>
          <w:rFonts w:ascii="Arial" w:hAnsi="Arial" w:cs="Arial"/>
          <w:i/>
          <w:iCs/>
          <w:sz w:val="20"/>
          <w:szCs w:val="20"/>
        </w:rPr>
        <w:t xml:space="preserve">You can include the information </w:t>
      </w:r>
      <w:r w:rsidR="005D6A6B">
        <w:rPr>
          <w:rFonts w:ascii="Arial" w:hAnsi="Arial" w:cs="Arial"/>
          <w:i/>
          <w:iCs/>
          <w:sz w:val="20"/>
          <w:szCs w:val="20"/>
        </w:rPr>
        <w:t xml:space="preserve">from Part 1 and 2 of this form </w:t>
      </w:r>
      <w:r w:rsidR="001A68C9" w:rsidRPr="001A68C9">
        <w:rPr>
          <w:rFonts w:ascii="Arial" w:hAnsi="Arial" w:cs="Arial"/>
          <w:i/>
          <w:iCs/>
          <w:sz w:val="20"/>
          <w:szCs w:val="20"/>
        </w:rPr>
        <w:t>as an appendix to this form.</w:t>
      </w:r>
      <w:r w:rsidR="001A68C9">
        <w:rPr>
          <w:rFonts w:ascii="Arial" w:hAnsi="Arial" w:cs="Arial"/>
          <w:i/>
          <w:iCs/>
          <w:sz w:val="20"/>
          <w:szCs w:val="20"/>
        </w:rPr>
        <w:t xml:space="preserve"> </w:t>
      </w:r>
      <w:r w:rsidR="001A68C9" w:rsidRPr="001A68C9">
        <w:rPr>
          <w:rFonts w:ascii="Arial" w:hAnsi="Arial" w:cs="Arial"/>
          <w:b/>
          <w:bCs/>
          <w:i/>
          <w:iCs/>
          <w:sz w:val="20"/>
          <w:szCs w:val="20"/>
        </w:rPr>
        <w:t>If the information provided within this form is incomplete, the application will be reviewed as per the standard FULL evaluation route.</w:t>
      </w:r>
    </w:p>
    <w:p w14:paraId="6338D44B" w14:textId="122EC937" w:rsidR="00932013" w:rsidRPr="00932013" w:rsidRDefault="00932013" w:rsidP="001C2EA4">
      <w:pPr>
        <w:rPr>
          <w:rFonts w:ascii="Arial" w:hAnsi="Arial" w:cs="Arial"/>
          <w:sz w:val="20"/>
          <w:szCs w:val="20"/>
          <w:u w:val="single"/>
        </w:rPr>
      </w:pPr>
      <w:r w:rsidRPr="00932013">
        <w:rPr>
          <w:rFonts w:ascii="Arial" w:hAnsi="Arial" w:cs="Arial"/>
          <w:sz w:val="20"/>
          <w:szCs w:val="20"/>
          <w:u w:val="single"/>
        </w:rPr>
        <w:t>Qualifying criteria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932013" w:rsidRPr="00932013" w14:paraId="273F93D7" w14:textId="77777777" w:rsidTr="00932013">
        <w:tc>
          <w:tcPr>
            <w:tcW w:w="6974" w:type="dxa"/>
          </w:tcPr>
          <w:p w14:paraId="69341852" w14:textId="61D6B846" w:rsidR="00932013" w:rsidRPr="00932013" w:rsidRDefault="00932013" w:rsidP="001C2E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320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General Medical Devices </w:t>
            </w:r>
          </w:p>
        </w:tc>
        <w:tc>
          <w:tcPr>
            <w:tcW w:w="6974" w:type="dxa"/>
          </w:tcPr>
          <w:p w14:paraId="0E95E359" w14:textId="24117B77" w:rsidR="00932013" w:rsidRPr="00932013" w:rsidRDefault="00932013" w:rsidP="001C2E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320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In-Vitro Diagnostic Medical Devices </w:t>
            </w:r>
          </w:p>
        </w:tc>
      </w:tr>
      <w:tr w:rsidR="00932013" w:rsidRPr="00932013" w14:paraId="5B610B25" w14:textId="77777777" w:rsidTr="00932013">
        <w:tc>
          <w:tcPr>
            <w:tcW w:w="6974" w:type="dxa"/>
          </w:tcPr>
          <w:p w14:paraId="46D1822F" w14:textId="4D1D340F" w:rsidR="00932013" w:rsidRPr="00932013" w:rsidRDefault="00932013" w:rsidP="00932013">
            <w:pPr>
              <w:rPr>
                <w:rFonts w:ascii="Arial" w:hAnsi="Arial" w:cs="Arial"/>
                <w:sz w:val="20"/>
                <w:szCs w:val="20"/>
              </w:rPr>
            </w:pPr>
            <w:r w:rsidRPr="00932013">
              <w:rPr>
                <w:rFonts w:ascii="Arial" w:hAnsi="Arial" w:cs="Arial"/>
                <w:sz w:val="20"/>
                <w:szCs w:val="20"/>
              </w:rPr>
              <w:t xml:space="preserve">All </w:t>
            </w:r>
            <w:r w:rsidRPr="00932013">
              <w:rPr>
                <w:rFonts w:ascii="Arial" w:hAnsi="Arial" w:cs="Arial"/>
                <w:sz w:val="20"/>
                <w:szCs w:val="20"/>
                <w:u w:val="single"/>
              </w:rPr>
              <w:t>models</w:t>
            </w:r>
            <w:r w:rsidRPr="00932013">
              <w:rPr>
                <w:rFonts w:ascii="Arial" w:hAnsi="Arial" w:cs="Arial"/>
                <w:sz w:val="20"/>
                <w:szCs w:val="20"/>
              </w:rPr>
              <w:t xml:space="preserve"> in the </w:t>
            </w:r>
            <w:r>
              <w:rPr>
                <w:rFonts w:ascii="Arial" w:hAnsi="Arial" w:cs="Arial"/>
                <w:sz w:val="20"/>
                <w:szCs w:val="20"/>
              </w:rPr>
              <w:t>application</w:t>
            </w:r>
            <w:r w:rsidRPr="00932013">
              <w:rPr>
                <w:rFonts w:ascii="Arial" w:hAnsi="Arial" w:cs="Arial"/>
                <w:sz w:val="20"/>
                <w:szCs w:val="20"/>
              </w:rPr>
              <w:t xml:space="preserve"> must </w:t>
            </w:r>
            <w:r w:rsidR="00780543">
              <w:rPr>
                <w:rFonts w:ascii="Arial" w:hAnsi="Arial" w:cs="Arial"/>
                <w:sz w:val="20"/>
                <w:szCs w:val="20"/>
              </w:rPr>
              <w:t xml:space="preserve">meet </w:t>
            </w:r>
            <w:proofErr w:type="gramStart"/>
            <w:r w:rsidR="008D34CC" w:rsidRPr="00932013">
              <w:rPr>
                <w:rFonts w:ascii="Arial" w:hAnsi="Arial" w:cs="Arial"/>
                <w:sz w:val="20"/>
                <w:szCs w:val="20"/>
              </w:rPr>
              <w:t>ALL</w:t>
            </w:r>
            <w:r w:rsidR="00780543">
              <w:rPr>
                <w:rFonts w:ascii="Arial" w:hAnsi="Arial" w:cs="Arial"/>
                <w:sz w:val="20"/>
                <w:szCs w:val="20"/>
              </w:rPr>
              <w:t xml:space="preserve"> of</w:t>
            </w:r>
            <w:proofErr w:type="gramEnd"/>
            <w:r w:rsidR="008D34CC" w:rsidRPr="0093201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32013">
              <w:rPr>
                <w:rFonts w:ascii="Arial" w:hAnsi="Arial" w:cs="Arial"/>
                <w:sz w:val="20"/>
                <w:szCs w:val="20"/>
              </w:rPr>
              <w:t xml:space="preserve">the following </w:t>
            </w:r>
            <w:r w:rsidR="00780543">
              <w:rPr>
                <w:rFonts w:ascii="Arial" w:hAnsi="Arial" w:cs="Arial"/>
                <w:sz w:val="20"/>
                <w:szCs w:val="20"/>
              </w:rPr>
              <w:t>criteria when compared with</w:t>
            </w:r>
            <w:r w:rsidRPr="00932013">
              <w:rPr>
                <w:rFonts w:ascii="Arial" w:hAnsi="Arial" w:cs="Arial"/>
                <w:sz w:val="20"/>
                <w:szCs w:val="20"/>
              </w:rPr>
              <w:t xml:space="preserve"> the </w:t>
            </w:r>
            <w:r>
              <w:rPr>
                <w:rFonts w:ascii="Arial" w:hAnsi="Arial" w:cs="Arial"/>
                <w:sz w:val="20"/>
                <w:szCs w:val="20"/>
              </w:rPr>
              <w:t xml:space="preserve">registered device: </w:t>
            </w:r>
          </w:p>
          <w:p w14:paraId="19D89653" w14:textId="7456F3BD" w:rsidR="00932013" w:rsidRDefault="00932013" w:rsidP="00932013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Same product type </w:t>
            </w:r>
          </w:p>
          <w:p w14:paraId="66519147" w14:textId="77777777" w:rsidR="008D34CC" w:rsidRPr="008D34CC" w:rsidRDefault="008D34CC" w:rsidP="008D34CC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8D34CC">
              <w:rPr>
                <w:rFonts w:ascii="Arial" w:hAnsi="Arial" w:cs="Arial"/>
                <w:sz w:val="20"/>
                <w:szCs w:val="20"/>
              </w:rPr>
              <w:t>Identical validation for Biocompatibility, Sterilization AND Shelf-life</w:t>
            </w:r>
          </w:p>
          <w:p w14:paraId="4D177606" w14:textId="553F3505" w:rsidR="00932013" w:rsidRPr="008D34CC" w:rsidRDefault="00932013" w:rsidP="008D34CC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74" w:type="dxa"/>
          </w:tcPr>
          <w:p w14:paraId="216CC469" w14:textId="45521165" w:rsidR="00932013" w:rsidRPr="00932013" w:rsidRDefault="00932013" w:rsidP="00932013">
            <w:pPr>
              <w:rPr>
                <w:rFonts w:ascii="Arial" w:hAnsi="Arial" w:cs="Arial"/>
                <w:sz w:val="20"/>
                <w:szCs w:val="20"/>
              </w:rPr>
            </w:pPr>
            <w:r w:rsidRPr="00932013">
              <w:rPr>
                <w:rFonts w:ascii="Arial" w:hAnsi="Arial" w:cs="Arial"/>
                <w:sz w:val="20"/>
                <w:szCs w:val="20"/>
              </w:rPr>
              <w:t xml:space="preserve">All </w:t>
            </w:r>
            <w:r w:rsidRPr="00932013">
              <w:rPr>
                <w:rFonts w:ascii="Arial" w:hAnsi="Arial" w:cs="Arial"/>
                <w:sz w:val="20"/>
                <w:szCs w:val="20"/>
                <w:u w:val="single"/>
              </w:rPr>
              <w:t>reagents</w:t>
            </w:r>
            <w:r w:rsidRPr="00932013">
              <w:rPr>
                <w:rFonts w:ascii="Arial" w:hAnsi="Arial" w:cs="Arial"/>
                <w:sz w:val="20"/>
                <w:szCs w:val="20"/>
              </w:rPr>
              <w:t xml:space="preserve"> in the </w:t>
            </w:r>
            <w:r>
              <w:rPr>
                <w:rFonts w:ascii="Arial" w:hAnsi="Arial" w:cs="Arial"/>
                <w:sz w:val="20"/>
                <w:szCs w:val="20"/>
              </w:rPr>
              <w:t>application</w:t>
            </w:r>
            <w:r w:rsidRPr="00932013">
              <w:rPr>
                <w:rFonts w:ascii="Arial" w:hAnsi="Arial" w:cs="Arial"/>
                <w:sz w:val="20"/>
                <w:szCs w:val="20"/>
              </w:rPr>
              <w:t xml:space="preserve"> must share </w:t>
            </w:r>
            <w:proofErr w:type="gramStart"/>
            <w:r w:rsidRPr="00932013">
              <w:rPr>
                <w:rFonts w:ascii="Arial" w:hAnsi="Arial" w:cs="Arial"/>
                <w:sz w:val="20"/>
                <w:szCs w:val="20"/>
              </w:rPr>
              <w:t xml:space="preserve">ALL </w:t>
            </w:r>
            <w:r w:rsidR="00780543">
              <w:rPr>
                <w:rFonts w:ascii="Arial" w:hAnsi="Arial" w:cs="Arial"/>
                <w:sz w:val="20"/>
                <w:szCs w:val="20"/>
              </w:rPr>
              <w:t>of</w:t>
            </w:r>
            <w:proofErr w:type="gramEnd"/>
            <w:r w:rsidR="0078054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32013">
              <w:rPr>
                <w:rFonts w:ascii="Arial" w:hAnsi="Arial" w:cs="Arial"/>
                <w:sz w:val="20"/>
                <w:szCs w:val="20"/>
              </w:rPr>
              <w:t>the following</w:t>
            </w:r>
            <w:r w:rsidR="00780543">
              <w:rPr>
                <w:rFonts w:ascii="Arial" w:hAnsi="Arial" w:cs="Arial"/>
                <w:sz w:val="20"/>
                <w:szCs w:val="20"/>
              </w:rPr>
              <w:t xml:space="preserve"> criteria when compared</w:t>
            </w:r>
            <w:r w:rsidRPr="00932013">
              <w:rPr>
                <w:rFonts w:ascii="Arial" w:hAnsi="Arial" w:cs="Arial"/>
                <w:sz w:val="20"/>
                <w:szCs w:val="20"/>
              </w:rPr>
              <w:t xml:space="preserve"> with the </w:t>
            </w:r>
            <w:r>
              <w:rPr>
                <w:rFonts w:ascii="Arial" w:hAnsi="Arial" w:cs="Arial"/>
                <w:sz w:val="20"/>
                <w:szCs w:val="20"/>
              </w:rPr>
              <w:t>registered device</w:t>
            </w:r>
            <w:r w:rsidRPr="00932013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423E94F6" w14:textId="77777777" w:rsidR="00932013" w:rsidRPr="00932013" w:rsidRDefault="00932013" w:rsidP="00932013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932013">
              <w:rPr>
                <w:rFonts w:ascii="Arial" w:hAnsi="Arial" w:cs="Arial"/>
                <w:sz w:val="20"/>
                <w:szCs w:val="20"/>
              </w:rPr>
              <w:t>Identical formulation AND labelled storage condition</w:t>
            </w:r>
          </w:p>
          <w:p w14:paraId="75E567B9" w14:textId="77777777" w:rsidR="00932013" w:rsidRPr="00932013" w:rsidRDefault="00932013" w:rsidP="00932013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932013">
              <w:rPr>
                <w:rFonts w:ascii="Arial" w:hAnsi="Arial" w:cs="Arial"/>
                <w:sz w:val="20"/>
                <w:szCs w:val="20"/>
              </w:rPr>
              <w:t>Identical intended use and indications for use</w:t>
            </w:r>
          </w:p>
          <w:p w14:paraId="181792A2" w14:textId="391D6E62" w:rsidR="00932013" w:rsidRPr="008D34CC" w:rsidRDefault="00932013" w:rsidP="008D34CC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932013">
              <w:rPr>
                <w:rFonts w:ascii="Arial" w:hAnsi="Arial" w:cs="Arial"/>
                <w:sz w:val="20"/>
                <w:szCs w:val="20"/>
              </w:rPr>
              <w:t>Identical sample type</w:t>
            </w:r>
          </w:p>
        </w:tc>
      </w:tr>
    </w:tbl>
    <w:p w14:paraId="6FAF9081" w14:textId="77777777" w:rsidR="00932013" w:rsidRPr="0066065C" w:rsidRDefault="00932013" w:rsidP="001C2EA4">
      <w:pPr>
        <w:rPr>
          <w:rFonts w:ascii="Arial" w:hAnsi="Arial" w:cs="Arial"/>
          <w:i/>
          <w:iCs/>
          <w:sz w:val="20"/>
          <w:szCs w:val="20"/>
        </w:rPr>
      </w:pPr>
    </w:p>
    <w:p w14:paraId="69CF30F1" w14:textId="1709947B" w:rsidR="0053589A" w:rsidRPr="00E64C0B" w:rsidRDefault="0053589A" w:rsidP="0053589A">
      <w:pPr>
        <w:pStyle w:val="Heading1"/>
        <w:rPr>
          <w:rFonts w:ascii="Arial" w:hAnsi="Arial" w:cs="Arial"/>
          <w:b/>
          <w:bCs/>
          <w:color w:val="auto"/>
          <w:sz w:val="24"/>
          <w:szCs w:val="24"/>
        </w:rPr>
      </w:pPr>
      <w:r w:rsidRPr="00E64C0B">
        <w:rPr>
          <w:rFonts w:ascii="Arial" w:hAnsi="Arial" w:cs="Arial"/>
          <w:b/>
          <w:bCs/>
          <w:color w:val="auto"/>
          <w:sz w:val="24"/>
          <w:szCs w:val="24"/>
        </w:rPr>
        <w:t xml:space="preserve">PART 1 COMPARISON TABLE OF </w:t>
      </w:r>
      <w:r w:rsidR="003766F1">
        <w:rPr>
          <w:rFonts w:ascii="Arial" w:hAnsi="Arial" w:cs="Arial"/>
          <w:b/>
          <w:bCs/>
          <w:color w:val="auto"/>
          <w:sz w:val="24"/>
          <w:szCs w:val="24"/>
        </w:rPr>
        <w:t>NEXT GENERATION DEVICE</w:t>
      </w:r>
      <w:r w:rsidR="00903C76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Pr="00E64C0B">
        <w:rPr>
          <w:rFonts w:ascii="Arial" w:hAnsi="Arial" w:cs="Arial"/>
          <w:b/>
          <w:bCs/>
          <w:color w:val="auto"/>
          <w:sz w:val="24"/>
          <w:szCs w:val="24"/>
        </w:rPr>
        <w:t xml:space="preserve">AND </w:t>
      </w:r>
      <w:r w:rsidR="00E64C0B" w:rsidRPr="00E64C0B">
        <w:rPr>
          <w:rFonts w:ascii="Arial" w:hAnsi="Arial" w:cs="Arial"/>
          <w:b/>
          <w:bCs/>
          <w:color w:val="auto"/>
          <w:sz w:val="24"/>
          <w:szCs w:val="24"/>
        </w:rPr>
        <w:t xml:space="preserve">REGISTERED </w:t>
      </w:r>
      <w:r w:rsidR="00C353DE" w:rsidRPr="00E64C0B">
        <w:rPr>
          <w:rFonts w:ascii="Arial" w:hAnsi="Arial" w:cs="Arial"/>
          <w:b/>
          <w:bCs/>
          <w:color w:val="auto"/>
          <w:sz w:val="24"/>
          <w:szCs w:val="24"/>
        </w:rPr>
        <w:t>DEVICE</w:t>
      </w:r>
    </w:p>
    <w:p w14:paraId="1E1553B7" w14:textId="77777777" w:rsidR="00E64C0B" w:rsidRDefault="00E64C0B" w:rsidP="00E64C0B">
      <w:pPr>
        <w:rPr>
          <w:rFonts w:ascii="Arial" w:hAnsi="Arial" w:cs="Arial"/>
          <w:color w:val="808080" w:themeColor="background1" w:themeShade="8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49"/>
        <w:gridCol w:w="4860"/>
        <w:gridCol w:w="4739"/>
      </w:tblGrid>
      <w:tr w:rsidR="00D65EC3" w14:paraId="53FD0428" w14:textId="77777777" w:rsidTr="00D65EC3">
        <w:tc>
          <w:tcPr>
            <w:tcW w:w="4349" w:type="dxa"/>
          </w:tcPr>
          <w:p w14:paraId="15958C9D" w14:textId="77777777" w:rsidR="00D65EC3" w:rsidRDefault="00D65EC3" w:rsidP="00E64C0B">
            <w:pPr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4860" w:type="dxa"/>
          </w:tcPr>
          <w:p w14:paraId="25401683" w14:textId="7466B519" w:rsidR="00D65EC3" w:rsidRPr="00D65EC3" w:rsidRDefault="003766F1" w:rsidP="00E64C0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Next generation device</w:t>
            </w:r>
            <w:r w:rsidR="00D65EC3" w:rsidRPr="00D65EC3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4739" w:type="dxa"/>
          </w:tcPr>
          <w:p w14:paraId="26AC7143" w14:textId="304601A3" w:rsidR="00D65EC3" w:rsidRPr="00D65EC3" w:rsidRDefault="00D65EC3" w:rsidP="00E64C0B">
            <w:pPr>
              <w:rPr>
                <w:rFonts w:ascii="Arial" w:hAnsi="Arial" w:cs="Arial"/>
                <w:b/>
                <w:bCs/>
              </w:rPr>
            </w:pPr>
            <w:r w:rsidRPr="00D65EC3">
              <w:rPr>
                <w:rFonts w:ascii="Arial" w:hAnsi="Arial" w:cs="Arial"/>
                <w:b/>
                <w:bCs/>
              </w:rPr>
              <w:t xml:space="preserve">Registered device </w:t>
            </w:r>
          </w:p>
        </w:tc>
      </w:tr>
      <w:tr w:rsidR="00D65EC3" w14:paraId="1EE554C2" w14:textId="77777777" w:rsidTr="00D65EC3">
        <w:tc>
          <w:tcPr>
            <w:tcW w:w="4349" w:type="dxa"/>
          </w:tcPr>
          <w:p w14:paraId="2C9564A6" w14:textId="5E5C4748" w:rsidR="00D65EC3" w:rsidRPr="00D65EC3" w:rsidRDefault="00D65EC3" w:rsidP="00E64C0B">
            <w:pPr>
              <w:rPr>
                <w:rFonts w:ascii="Arial" w:hAnsi="Arial" w:cs="Arial"/>
              </w:rPr>
            </w:pPr>
            <w:r w:rsidRPr="00D65EC3">
              <w:rPr>
                <w:rFonts w:ascii="Arial" w:hAnsi="Arial" w:cs="Arial"/>
              </w:rPr>
              <w:t>Device listing number</w:t>
            </w:r>
            <w:r>
              <w:rPr>
                <w:rFonts w:ascii="Arial" w:hAnsi="Arial" w:cs="Arial"/>
              </w:rPr>
              <w:t>(s)</w:t>
            </w:r>
          </w:p>
        </w:tc>
        <w:tc>
          <w:tcPr>
            <w:tcW w:w="4860" w:type="dxa"/>
            <w:shd w:val="clear" w:color="auto" w:fill="BFBFBF" w:themeFill="background1" w:themeFillShade="BF"/>
          </w:tcPr>
          <w:p w14:paraId="7A430047" w14:textId="77777777" w:rsidR="00D65EC3" w:rsidRDefault="00D65EC3" w:rsidP="00E64C0B">
            <w:pPr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4739" w:type="dxa"/>
          </w:tcPr>
          <w:p w14:paraId="776EAB09" w14:textId="77777777" w:rsidR="00D65EC3" w:rsidRDefault="00D65EC3" w:rsidP="00E64C0B">
            <w:pPr>
              <w:rPr>
                <w:rFonts w:ascii="Arial" w:hAnsi="Arial" w:cs="Arial"/>
                <w:color w:val="808080" w:themeColor="background1" w:themeShade="80"/>
              </w:rPr>
            </w:pPr>
          </w:p>
        </w:tc>
      </w:tr>
      <w:tr w:rsidR="00D65EC3" w14:paraId="7AFF8B78" w14:textId="77777777" w:rsidTr="00D65EC3">
        <w:tc>
          <w:tcPr>
            <w:tcW w:w="4349" w:type="dxa"/>
          </w:tcPr>
          <w:p w14:paraId="5EF1647A" w14:textId="2916794F" w:rsidR="00D65EC3" w:rsidRPr="00D65EC3" w:rsidRDefault="00D65EC3" w:rsidP="00E64C0B">
            <w:pPr>
              <w:rPr>
                <w:rFonts w:ascii="Arial" w:hAnsi="Arial" w:cs="Arial"/>
              </w:rPr>
            </w:pPr>
            <w:r w:rsidRPr="00D65EC3">
              <w:rPr>
                <w:rFonts w:ascii="Arial" w:hAnsi="Arial" w:cs="Arial"/>
              </w:rPr>
              <w:t>Job reference number</w:t>
            </w:r>
            <w:r>
              <w:rPr>
                <w:rFonts w:ascii="Arial" w:hAnsi="Arial" w:cs="Arial"/>
              </w:rPr>
              <w:t>(s)</w:t>
            </w:r>
          </w:p>
        </w:tc>
        <w:tc>
          <w:tcPr>
            <w:tcW w:w="4860" w:type="dxa"/>
          </w:tcPr>
          <w:p w14:paraId="6DA87987" w14:textId="77777777" w:rsidR="00D65EC3" w:rsidRDefault="00D65EC3" w:rsidP="00E64C0B">
            <w:pPr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4739" w:type="dxa"/>
          </w:tcPr>
          <w:p w14:paraId="734B2EBE" w14:textId="77777777" w:rsidR="00D65EC3" w:rsidRDefault="00D65EC3" w:rsidP="00E64C0B">
            <w:pPr>
              <w:rPr>
                <w:rFonts w:ascii="Arial" w:hAnsi="Arial" w:cs="Arial"/>
                <w:color w:val="808080" w:themeColor="background1" w:themeShade="80"/>
              </w:rPr>
            </w:pPr>
          </w:p>
        </w:tc>
      </w:tr>
      <w:tr w:rsidR="00D65EC3" w14:paraId="265E7465" w14:textId="77777777" w:rsidTr="00D65EC3">
        <w:tc>
          <w:tcPr>
            <w:tcW w:w="4349" w:type="dxa"/>
          </w:tcPr>
          <w:p w14:paraId="38966A8A" w14:textId="66460A0B" w:rsidR="00D65EC3" w:rsidRDefault="001A68C9" w:rsidP="00E64C0B">
            <w:pPr>
              <w:rPr>
                <w:rFonts w:ascii="Arial" w:hAnsi="Arial" w:cs="Arial"/>
                <w:color w:val="808080" w:themeColor="background1" w:themeShade="80"/>
              </w:rPr>
            </w:pPr>
            <w:r>
              <w:rPr>
                <w:rFonts w:ascii="Arial" w:hAnsi="Arial" w:cs="Arial"/>
                <w:color w:val="808080" w:themeColor="background1" w:themeShade="80"/>
              </w:rPr>
              <w:t xml:space="preserve">E.g. Intended use </w:t>
            </w:r>
          </w:p>
        </w:tc>
        <w:tc>
          <w:tcPr>
            <w:tcW w:w="4860" w:type="dxa"/>
          </w:tcPr>
          <w:p w14:paraId="7D81F1FE" w14:textId="096B49A0" w:rsidR="00D65EC3" w:rsidRDefault="001A68C9" w:rsidP="00E64C0B">
            <w:pPr>
              <w:rPr>
                <w:rFonts w:ascii="Arial" w:hAnsi="Arial" w:cs="Arial"/>
                <w:color w:val="808080" w:themeColor="background1" w:themeShade="80"/>
              </w:rPr>
            </w:pPr>
            <w:r w:rsidRPr="00D65EC3">
              <w:rPr>
                <w:rFonts w:ascii="Arial" w:hAnsi="Arial" w:cs="Arial"/>
                <w:color w:val="808080" w:themeColor="background1" w:themeShade="80"/>
              </w:rPr>
              <w:t>A comprehensive comparison</w:t>
            </w:r>
            <w:r>
              <w:rPr>
                <w:rFonts w:ascii="Arial" w:hAnsi="Arial" w:cs="Arial"/>
                <w:color w:val="808080" w:themeColor="background1" w:themeShade="80"/>
              </w:rPr>
              <w:t xml:space="preserve"> of the </w:t>
            </w:r>
            <w:r w:rsidR="003766F1">
              <w:rPr>
                <w:rFonts w:ascii="Arial" w:hAnsi="Arial" w:cs="Arial"/>
                <w:color w:val="808080" w:themeColor="background1" w:themeShade="80"/>
              </w:rPr>
              <w:t xml:space="preserve">next generation </w:t>
            </w:r>
            <w:r>
              <w:rPr>
                <w:rFonts w:ascii="Arial" w:hAnsi="Arial" w:cs="Arial"/>
                <w:color w:val="808080" w:themeColor="background1" w:themeShade="80"/>
              </w:rPr>
              <w:t>device with the registered device</w:t>
            </w:r>
            <w:r w:rsidRPr="00D65EC3">
              <w:rPr>
                <w:rFonts w:ascii="Arial" w:hAnsi="Arial" w:cs="Arial"/>
                <w:color w:val="808080" w:themeColor="background1" w:themeShade="80"/>
              </w:rPr>
              <w:t>, including but not limited to the intended use/indications for use, design characteristics, mode of action/principles of operation, material/formulation, technical and performance specifications, packaging configuration, manufacturing process, sterilization method and process, compatible accessories/calibrators/controls/analyzers. This may be accompanied by pictures/diagrams with supporting text to highlight the differences</w:t>
            </w:r>
            <w:r w:rsidR="00BD6615">
              <w:rPr>
                <w:rFonts w:ascii="Arial" w:hAnsi="Arial" w:cs="Arial"/>
                <w:color w:val="808080" w:themeColor="background1" w:themeShade="80"/>
              </w:rPr>
              <w:t>.</w:t>
            </w:r>
          </w:p>
        </w:tc>
        <w:tc>
          <w:tcPr>
            <w:tcW w:w="4739" w:type="dxa"/>
          </w:tcPr>
          <w:p w14:paraId="7D2D9082" w14:textId="77777777" w:rsidR="00D65EC3" w:rsidRDefault="00D65EC3" w:rsidP="00E64C0B">
            <w:pPr>
              <w:rPr>
                <w:rFonts w:ascii="Arial" w:hAnsi="Arial" w:cs="Arial"/>
                <w:color w:val="808080" w:themeColor="background1" w:themeShade="80"/>
              </w:rPr>
            </w:pPr>
          </w:p>
        </w:tc>
      </w:tr>
      <w:tr w:rsidR="00D65EC3" w14:paraId="7E3EA5EE" w14:textId="77777777" w:rsidTr="00D65EC3">
        <w:tc>
          <w:tcPr>
            <w:tcW w:w="4349" w:type="dxa"/>
          </w:tcPr>
          <w:p w14:paraId="10A41F8F" w14:textId="422278AF" w:rsidR="00D65EC3" w:rsidRDefault="001A68C9" w:rsidP="00E64C0B">
            <w:pPr>
              <w:rPr>
                <w:rFonts w:ascii="Arial" w:hAnsi="Arial" w:cs="Arial"/>
                <w:color w:val="808080" w:themeColor="background1" w:themeShade="80"/>
              </w:rPr>
            </w:pPr>
            <w:r>
              <w:rPr>
                <w:rFonts w:ascii="Arial" w:hAnsi="Arial" w:cs="Arial"/>
                <w:color w:val="808080" w:themeColor="background1" w:themeShade="80"/>
              </w:rPr>
              <w:lastRenderedPageBreak/>
              <w:t xml:space="preserve">Indications </w:t>
            </w:r>
          </w:p>
        </w:tc>
        <w:tc>
          <w:tcPr>
            <w:tcW w:w="4860" w:type="dxa"/>
          </w:tcPr>
          <w:p w14:paraId="035B74C3" w14:textId="77777777" w:rsidR="00D65EC3" w:rsidRDefault="00D65EC3" w:rsidP="00E64C0B">
            <w:pPr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4739" w:type="dxa"/>
          </w:tcPr>
          <w:p w14:paraId="669B1F13" w14:textId="77777777" w:rsidR="00D65EC3" w:rsidRDefault="00D65EC3" w:rsidP="00E64C0B">
            <w:pPr>
              <w:rPr>
                <w:rFonts w:ascii="Arial" w:hAnsi="Arial" w:cs="Arial"/>
                <w:color w:val="808080" w:themeColor="background1" w:themeShade="80"/>
              </w:rPr>
            </w:pPr>
          </w:p>
        </w:tc>
      </w:tr>
      <w:tr w:rsidR="00D65EC3" w14:paraId="068DE51C" w14:textId="77777777" w:rsidTr="00D65EC3">
        <w:tc>
          <w:tcPr>
            <w:tcW w:w="4349" w:type="dxa"/>
          </w:tcPr>
          <w:p w14:paraId="44708D21" w14:textId="7A6BCAC4" w:rsidR="00D65EC3" w:rsidRDefault="001A68C9" w:rsidP="00E64C0B">
            <w:pPr>
              <w:rPr>
                <w:rFonts w:ascii="Arial" w:hAnsi="Arial" w:cs="Arial"/>
                <w:color w:val="808080" w:themeColor="background1" w:themeShade="80"/>
              </w:rPr>
            </w:pPr>
            <w:r>
              <w:rPr>
                <w:rFonts w:ascii="Arial" w:hAnsi="Arial" w:cs="Arial"/>
                <w:color w:val="808080" w:themeColor="background1" w:themeShade="80"/>
              </w:rPr>
              <w:t xml:space="preserve">Principles of operation </w:t>
            </w:r>
          </w:p>
        </w:tc>
        <w:tc>
          <w:tcPr>
            <w:tcW w:w="4860" w:type="dxa"/>
          </w:tcPr>
          <w:p w14:paraId="2CE2F398" w14:textId="77777777" w:rsidR="00D65EC3" w:rsidRDefault="00D65EC3" w:rsidP="00E64C0B">
            <w:pPr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4739" w:type="dxa"/>
          </w:tcPr>
          <w:p w14:paraId="19A7E86F" w14:textId="77777777" w:rsidR="00D65EC3" w:rsidRDefault="00D65EC3" w:rsidP="00E64C0B">
            <w:pPr>
              <w:rPr>
                <w:rFonts w:ascii="Arial" w:hAnsi="Arial" w:cs="Arial"/>
                <w:color w:val="808080" w:themeColor="background1" w:themeShade="80"/>
              </w:rPr>
            </w:pPr>
          </w:p>
        </w:tc>
      </w:tr>
      <w:tr w:rsidR="001A68C9" w14:paraId="7A42F1E4" w14:textId="77777777" w:rsidTr="00D65EC3">
        <w:tc>
          <w:tcPr>
            <w:tcW w:w="4349" w:type="dxa"/>
          </w:tcPr>
          <w:p w14:paraId="47E0FA3C" w14:textId="2377945E" w:rsidR="001A68C9" w:rsidRDefault="001A68C9" w:rsidP="00E64C0B">
            <w:pPr>
              <w:rPr>
                <w:rFonts w:ascii="Arial" w:hAnsi="Arial" w:cs="Arial"/>
                <w:color w:val="808080" w:themeColor="background1" w:themeShade="80"/>
              </w:rPr>
            </w:pPr>
            <w:r>
              <w:rPr>
                <w:rFonts w:ascii="Arial" w:hAnsi="Arial" w:cs="Arial"/>
                <w:color w:val="808080" w:themeColor="background1" w:themeShade="80"/>
              </w:rPr>
              <w:t xml:space="preserve">Material </w:t>
            </w:r>
          </w:p>
        </w:tc>
        <w:tc>
          <w:tcPr>
            <w:tcW w:w="4860" w:type="dxa"/>
          </w:tcPr>
          <w:p w14:paraId="1CECB960" w14:textId="77777777" w:rsidR="001A68C9" w:rsidRDefault="001A68C9" w:rsidP="00E64C0B">
            <w:pPr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4739" w:type="dxa"/>
          </w:tcPr>
          <w:p w14:paraId="409048BB" w14:textId="77777777" w:rsidR="001A68C9" w:rsidRDefault="001A68C9" w:rsidP="00E64C0B">
            <w:pPr>
              <w:rPr>
                <w:rFonts w:ascii="Arial" w:hAnsi="Arial" w:cs="Arial"/>
                <w:color w:val="808080" w:themeColor="background1" w:themeShade="80"/>
              </w:rPr>
            </w:pPr>
          </w:p>
        </w:tc>
      </w:tr>
      <w:tr w:rsidR="001A68C9" w14:paraId="1B4CF337" w14:textId="77777777" w:rsidTr="00D65EC3">
        <w:tc>
          <w:tcPr>
            <w:tcW w:w="4349" w:type="dxa"/>
          </w:tcPr>
          <w:p w14:paraId="46940A01" w14:textId="50C40E26" w:rsidR="001A68C9" w:rsidRDefault="001A68C9" w:rsidP="00E64C0B">
            <w:pPr>
              <w:rPr>
                <w:rFonts w:ascii="Arial" w:hAnsi="Arial" w:cs="Arial"/>
                <w:color w:val="808080" w:themeColor="background1" w:themeShade="80"/>
              </w:rPr>
            </w:pPr>
            <w:r>
              <w:rPr>
                <w:rFonts w:ascii="Arial" w:hAnsi="Arial" w:cs="Arial"/>
                <w:color w:val="808080" w:themeColor="background1" w:themeShade="80"/>
              </w:rPr>
              <w:t xml:space="preserve">Packaging </w:t>
            </w:r>
          </w:p>
        </w:tc>
        <w:tc>
          <w:tcPr>
            <w:tcW w:w="4860" w:type="dxa"/>
          </w:tcPr>
          <w:p w14:paraId="3850B2FD" w14:textId="77777777" w:rsidR="001A68C9" w:rsidRDefault="001A68C9" w:rsidP="00E64C0B">
            <w:pPr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4739" w:type="dxa"/>
          </w:tcPr>
          <w:p w14:paraId="0AEF5999" w14:textId="77777777" w:rsidR="001A68C9" w:rsidRDefault="001A68C9" w:rsidP="00E64C0B">
            <w:pPr>
              <w:rPr>
                <w:rFonts w:ascii="Arial" w:hAnsi="Arial" w:cs="Arial"/>
                <w:color w:val="808080" w:themeColor="background1" w:themeShade="80"/>
              </w:rPr>
            </w:pPr>
          </w:p>
        </w:tc>
      </w:tr>
      <w:tr w:rsidR="001A68C9" w14:paraId="55AFAE49" w14:textId="77777777" w:rsidTr="00D65EC3">
        <w:tc>
          <w:tcPr>
            <w:tcW w:w="4349" w:type="dxa"/>
          </w:tcPr>
          <w:p w14:paraId="33491A14" w14:textId="77777777" w:rsidR="001A68C9" w:rsidRDefault="001A68C9" w:rsidP="00E64C0B">
            <w:pPr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4860" w:type="dxa"/>
          </w:tcPr>
          <w:p w14:paraId="167A415E" w14:textId="77777777" w:rsidR="001A68C9" w:rsidRDefault="001A68C9" w:rsidP="00E64C0B">
            <w:pPr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4739" w:type="dxa"/>
          </w:tcPr>
          <w:p w14:paraId="6B2A6D4A" w14:textId="77777777" w:rsidR="001A68C9" w:rsidRDefault="001A68C9" w:rsidP="00E64C0B">
            <w:pPr>
              <w:rPr>
                <w:rFonts w:ascii="Arial" w:hAnsi="Arial" w:cs="Arial"/>
                <w:color w:val="808080" w:themeColor="background1" w:themeShade="80"/>
              </w:rPr>
            </w:pPr>
          </w:p>
        </w:tc>
      </w:tr>
      <w:tr w:rsidR="001A68C9" w14:paraId="23620A49" w14:textId="77777777" w:rsidTr="00D65EC3">
        <w:tc>
          <w:tcPr>
            <w:tcW w:w="4349" w:type="dxa"/>
          </w:tcPr>
          <w:p w14:paraId="22085D41" w14:textId="77777777" w:rsidR="001A68C9" w:rsidRDefault="001A68C9" w:rsidP="00E64C0B">
            <w:pPr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4860" w:type="dxa"/>
          </w:tcPr>
          <w:p w14:paraId="35EE48ED" w14:textId="77777777" w:rsidR="001A68C9" w:rsidRDefault="001A68C9" w:rsidP="00E64C0B">
            <w:pPr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4739" w:type="dxa"/>
          </w:tcPr>
          <w:p w14:paraId="11707C6D" w14:textId="77777777" w:rsidR="001A68C9" w:rsidRDefault="001A68C9" w:rsidP="00E64C0B">
            <w:pPr>
              <w:rPr>
                <w:rFonts w:ascii="Arial" w:hAnsi="Arial" w:cs="Arial"/>
                <w:color w:val="808080" w:themeColor="background1" w:themeShade="80"/>
              </w:rPr>
            </w:pPr>
          </w:p>
        </w:tc>
      </w:tr>
    </w:tbl>
    <w:p w14:paraId="1F59340B" w14:textId="77777777" w:rsidR="00E64C0B" w:rsidRDefault="00E64C0B" w:rsidP="00E64C0B">
      <w:pPr>
        <w:rPr>
          <w:rFonts w:ascii="Arial" w:hAnsi="Arial" w:cs="Arial"/>
          <w:color w:val="808080" w:themeColor="background1" w:themeShade="80"/>
        </w:rPr>
      </w:pPr>
    </w:p>
    <w:p w14:paraId="57158451" w14:textId="77777777" w:rsidR="00E64C0B" w:rsidRDefault="00E64C0B" w:rsidP="00E64C0B">
      <w:pPr>
        <w:rPr>
          <w:rFonts w:ascii="Arial" w:hAnsi="Arial" w:cs="Arial"/>
          <w:color w:val="808080" w:themeColor="background1" w:themeShade="80"/>
        </w:rPr>
      </w:pPr>
    </w:p>
    <w:p w14:paraId="65E0DD15" w14:textId="77777777" w:rsidR="00E64C0B" w:rsidRDefault="00E64C0B" w:rsidP="00E64C0B">
      <w:pPr>
        <w:rPr>
          <w:rFonts w:ascii="Arial" w:hAnsi="Arial" w:cs="Arial"/>
          <w:color w:val="808080" w:themeColor="background1" w:themeShade="80"/>
        </w:rPr>
      </w:pPr>
    </w:p>
    <w:p w14:paraId="35A6DC70" w14:textId="77777777" w:rsidR="00E64C0B" w:rsidRDefault="00E64C0B" w:rsidP="00E64C0B">
      <w:pPr>
        <w:rPr>
          <w:rFonts w:ascii="Arial" w:hAnsi="Arial" w:cs="Arial"/>
          <w:color w:val="808080" w:themeColor="background1" w:themeShade="80"/>
        </w:rPr>
      </w:pPr>
    </w:p>
    <w:p w14:paraId="4BBC4C9E" w14:textId="77777777" w:rsidR="00E64C0B" w:rsidRDefault="00E64C0B" w:rsidP="00E64C0B">
      <w:pPr>
        <w:rPr>
          <w:rFonts w:ascii="Arial" w:hAnsi="Arial" w:cs="Arial"/>
          <w:color w:val="808080" w:themeColor="background1" w:themeShade="80"/>
        </w:rPr>
      </w:pPr>
    </w:p>
    <w:p w14:paraId="1127FA8B" w14:textId="77777777" w:rsidR="00E64C0B" w:rsidRDefault="00E64C0B" w:rsidP="00E64C0B">
      <w:pPr>
        <w:rPr>
          <w:rFonts w:ascii="Arial" w:hAnsi="Arial" w:cs="Arial"/>
          <w:color w:val="808080" w:themeColor="background1" w:themeShade="80"/>
        </w:rPr>
      </w:pPr>
    </w:p>
    <w:p w14:paraId="07DFFF87" w14:textId="77777777" w:rsidR="00D65EC3" w:rsidRDefault="00D65EC3" w:rsidP="00E64C0B">
      <w:pPr>
        <w:rPr>
          <w:rFonts w:ascii="Arial" w:hAnsi="Arial" w:cs="Arial"/>
          <w:color w:val="808080" w:themeColor="background1" w:themeShade="80"/>
        </w:rPr>
      </w:pPr>
    </w:p>
    <w:p w14:paraId="268DC403" w14:textId="77777777" w:rsidR="00D65EC3" w:rsidRDefault="00D65EC3" w:rsidP="00E64C0B">
      <w:pPr>
        <w:rPr>
          <w:rFonts w:ascii="Arial" w:hAnsi="Arial" w:cs="Arial"/>
          <w:color w:val="808080" w:themeColor="background1" w:themeShade="80"/>
        </w:rPr>
      </w:pPr>
    </w:p>
    <w:p w14:paraId="0E31371C" w14:textId="77777777" w:rsidR="00D65EC3" w:rsidRDefault="00D65EC3" w:rsidP="00E64C0B">
      <w:pPr>
        <w:rPr>
          <w:rFonts w:ascii="Arial" w:hAnsi="Arial" w:cs="Arial"/>
          <w:color w:val="808080" w:themeColor="background1" w:themeShade="80"/>
        </w:rPr>
      </w:pPr>
    </w:p>
    <w:p w14:paraId="755DD3C9" w14:textId="77777777" w:rsidR="00D65EC3" w:rsidRDefault="00D65EC3" w:rsidP="00E64C0B">
      <w:pPr>
        <w:rPr>
          <w:rFonts w:ascii="Arial" w:hAnsi="Arial" w:cs="Arial"/>
          <w:color w:val="808080" w:themeColor="background1" w:themeShade="80"/>
        </w:rPr>
      </w:pPr>
    </w:p>
    <w:p w14:paraId="35DFEC14" w14:textId="77777777" w:rsidR="00D65EC3" w:rsidRDefault="00D65EC3" w:rsidP="00E64C0B">
      <w:pPr>
        <w:rPr>
          <w:rFonts w:ascii="Arial" w:hAnsi="Arial" w:cs="Arial"/>
          <w:color w:val="808080" w:themeColor="background1" w:themeShade="80"/>
        </w:rPr>
      </w:pPr>
    </w:p>
    <w:p w14:paraId="7CA797E2" w14:textId="77777777" w:rsidR="00D65EC3" w:rsidRDefault="00D65EC3" w:rsidP="00E64C0B">
      <w:pPr>
        <w:rPr>
          <w:rFonts w:ascii="Arial" w:hAnsi="Arial" w:cs="Arial"/>
          <w:color w:val="808080" w:themeColor="background1" w:themeShade="80"/>
        </w:rPr>
      </w:pPr>
    </w:p>
    <w:p w14:paraId="30523778" w14:textId="77777777" w:rsidR="00D65EC3" w:rsidRDefault="00D65EC3" w:rsidP="00E64C0B">
      <w:pPr>
        <w:rPr>
          <w:rFonts w:ascii="Arial" w:hAnsi="Arial" w:cs="Arial"/>
          <w:color w:val="808080" w:themeColor="background1" w:themeShade="80"/>
        </w:rPr>
      </w:pPr>
    </w:p>
    <w:p w14:paraId="34CF273B" w14:textId="77777777" w:rsidR="00D65EC3" w:rsidRDefault="00D65EC3" w:rsidP="00E64C0B">
      <w:pPr>
        <w:rPr>
          <w:rFonts w:ascii="Arial" w:hAnsi="Arial" w:cs="Arial"/>
          <w:color w:val="808080" w:themeColor="background1" w:themeShade="80"/>
        </w:rPr>
      </w:pPr>
    </w:p>
    <w:p w14:paraId="27CF30B3" w14:textId="77777777" w:rsidR="00D65EC3" w:rsidRDefault="00D65EC3" w:rsidP="00E64C0B">
      <w:pPr>
        <w:rPr>
          <w:rFonts w:ascii="Arial" w:hAnsi="Arial" w:cs="Arial"/>
          <w:color w:val="808080" w:themeColor="background1" w:themeShade="80"/>
        </w:rPr>
      </w:pPr>
    </w:p>
    <w:p w14:paraId="63D1E71A" w14:textId="77777777" w:rsidR="00D65EC3" w:rsidRDefault="00D65EC3" w:rsidP="00E64C0B">
      <w:pPr>
        <w:rPr>
          <w:rFonts w:ascii="Arial" w:hAnsi="Arial" w:cs="Arial"/>
          <w:color w:val="808080" w:themeColor="background1" w:themeShade="80"/>
        </w:rPr>
      </w:pPr>
    </w:p>
    <w:p w14:paraId="34620AFE" w14:textId="77777777" w:rsidR="00D65EC3" w:rsidRDefault="00D65EC3" w:rsidP="00E64C0B">
      <w:pPr>
        <w:rPr>
          <w:rFonts w:ascii="Arial" w:hAnsi="Arial" w:cs="Arial"/>
          <w:color w:val="808080" w:themeColor="background1" w:themeShade="80"/>
        </w:rPr>
      </w:pPr>
    </w:p>
    <w:p w14:paraId="520B425E" w14:textId="081AABE7" w:rsidR="00E64C0B" w:rsidRPr="00CB79E7" w:rsidRDefault="00E64C0B" w:rsidP="00CB79E7">
      <w:pPr>
        <w:pStyle w:val="Heading1"/>
        <w:rPr>
          <w:rFonts w:ascii="Arial" w:hAnsi="Arial" w:cs="Arial"/>
          <w:b/>
          <w:bCs/>
          <w:color w:val="auto"/>
          <w:sz w:val="24"/>
          <w:szCs w:val="24"/>
        </w:rPr>
      </w:pPr>
      <w:r w:rsidRPr="00CB79E7">
        <w:rPr>
          <w:rFonts w:ascii="Arial" w:hAnsi="Arial" w:cs="Arial"/>
          <w:b/>
          <w:bCs/>
          <w:color w:val="auto"/>
          <w:sz w:val="24"/>
          <w:szCs w:val="24"/>
        </w:rPr>
        <w:lastRenderedPageBreak/>
        <w:t xml:space="preserve">PART 2 JUSTIFICATION ON RELEVANCE OF PREVIOUSLY </w:t>
      </w:r>
      <w:r w:rsidR="00A6714B">
        <w:rPr>
          <w:rFonts w:ascii="Arial" w:hAnsi="Arial" w:cs="Arial"/>
          <w:b/>
          <w:bCs/>
          <w:color w:val="auto"/>
          <w:sz w:val="24"/>
          <w:szCs w:val="24"/>
        </w:rPr>
        <w:t xml:space="preserve">SUBMITTED </w:t>
      </w:r>
      <w:r w:rsidRPr="00CB79E7">
        <w:rPr>
          <w:rFonts w:ascii="Arial" w:hAnsi="Arial" w:cs="Arial"/>
          <w:b/>
          <w:bCs/>
          <w:color w:val="auto"/>
          <w:sz w:val="24"/>
          <w:szCs w:val="24"/>
        </w:rPr>
        <w:t xml:space="preserve">DATA TO THE </w:t>
      </w:r>
      <w:r w:rsidR="003766F1">
        <w:rPr>
          <w:rFonts w:ascii="Arial" w:hAnsi="Arial" w:cs="Arial"/>
          <w:b/>
          <w:bCs/>
          <w:color w:val="auto"/>
          <w:sz w:val="24"/>
          <w:szCs w:val="24"/>
        </w:rPr>
        <w:t xml:space="preserve">NEXT GENERATION </w:t>
      </w:r>
      <w:r w:rsidRPr="00CB79E7">
        <w:rPr>
          <w:rFonts w:ascii="Arial" w:hAnsi="Arial" w:cs="Arial"/>
          <w:b/>
          <w:bCs/>
          <w:color w:val="auto"/>
          <w:sz w:val="24"/>
          <w:szCs w:val="24"/>
        </w:rPr>
        <w:t>DEVICE</w:t>
      </w:r>
      <w:r w:rsidR="00903C76" w:rsidRPr="00CB79E7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</w:p>
    <w:p w14:paraId="1AB42433" w14:textId="7401C62D" w:rsidR="00612617" w:rsidRDefault="00612617" w:rsidP="00E64C0B">
      <w:pPr>
        <w:rPr>
          <w:rFonts w:ascii="Arial" w:hAnsi="Arial" w:cs="Arial"/>
          <w:color w:val="808080" w:themeColor="background1" w:themeShade="80"/>
        </w:rPr>
      </w:pPr>
      <w:r>
        <w:rPr>
          <w:rFonts w:ascii="Arial" w:hAnsi="Arial" w:cs="Arial"/>
          <w:color w:val="808080" w:themeColor="background1" w:themeShade="80"/>
        </w:rPr>
        <w:t xml:space="preserve">Please note that only identical test reports (same report version) can be leveraged. </w:t>
      </w:r>
      <w:r w:rsidR="00A6714B">
        <w:rPr>
          <w:rFonts w:ascii="Arial" w:hAnsi="Arial" w:cs="Arial"/>
          <w:color w:val="808080" w:themeColor="background1" w:themeShade="80"/>
        </w:rPr>
        <w:t>Please i</w:t>
      </w:r>
      <w:r w:rsidR="00F5673A">
        <w:rPr>
          <w:rFonts w:ascii="Arial" w:hAnsi="Arial" w:cs="Arial"/>
          <w:color w:val="808080" w:themeColor="background1" w:themeShade="80"/>
        </w:rPr>
        <w:t xml:space="preserve">nclude only </w:t>
      </w:r>
      <w:r w:rsidR="00932013">
        <w:rPr>
          <w:rFonts w:ascii="Arial" w:hAnsi="Arial" w:cs="Arial"/>
          <w:color w:val="808080" w:themeColor="background1" w:themeShade="80"/>
        </w:rPr>
        <w:t xml:space="preserve">relevant design verification and validation aspects </w:t>
      </w:r>
      <w:r w:rsidR="00F5673A">
        <w:rPr>
          <w:rFonts w:ascii="Arial" w:hAnsi="Arial" w:cs="Arial"/>
          <w:color w:val="808080" w:themeColor="background1" w:themeShade="80"/>
        </w:rPr>
        <w:t>that you wish to</w:t>
      </w:r>
      <w:r w:rsidR="00932013">
        <w:rPr>
          <w:rFonts w:ascii="Arial" w:hAnsi="Arial" w:cs="Arial"/>
          <w:color w:val="808080" w:themeColor="background1" w:themeShade="80"/>
        </w:rPr>
        <w:t xml:space="preserve"> leverag</w:t>
      </w:r>
      <w:r w:rsidR="00F5673A">
        <w:rPr>
          <w:rFonts w:ascii="Arial" w:hAnsi="Arial" w:cs="Arial"/>
          <w:color w:val="808080" w:themeColor="background1" w:themeShade="80"/>
        </w:rPr>
        <w:t>e</w:t>
      </w:r>
      <w:r w:rsidR="00A6714B">
        <w:rPr>
          <w:rFonts w:ascii="Arial" w:hAnsi="Arial" w:cs="Arial"/>
          <w:color w:val="808080" w:themeColor="background1" w:themeShade="80"/>
        </w:rPr>
        <w:t xml:space="preserve"> in this section</w:t>
      </w:r>
      <w:r w:rsidR="00932013">
        <w:rPr>
          <w:rFonts w:ascii="Arial" w:hAnsi="Arial" w:cs="Arial"/>
          <w:color w:val="808080" w:themeColor="background1" w:themeShade="80"/>
        </w:rPr>
        <w:t xml:space="preserve">. </w:t>
      </w:r>
    </w:p>
    <w:p w14:paraId="5E2826FF" w14:textId="77777777" w:rsidR="00A6714B" w:rsidRPr="002A34C8" w:rsidRDefault="00A6714B" w:rsidP="00E64C0B">
      <w:pPr>
        <w:rPr>
          <w:rFonts w:ascii="Arial" w:hAnsi="Arial" w:cs="Arial"/>
          <w:color w:val="808080" w:themeColor="background1" w:themeShade="8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42"/>
        <w:gridCol w:w="4341"/>
        <w:gridCol w:w="6865"/>
      </w:tblGrid>
      <w:tr w:rsidR="009808F5" w14:paraId="6F490DC4" w14:textId="5C9654CD" w:rsidTr="00BD6615">
        <w:tc>
          <w:tcPr>
            <w:tcW w:w="2742" w:type="dxa"/>
          </w:tcPr>
          <w:p w14:paraId="5C6DE99D" w14:textId="07B131F4" w:rsidR="009808F5" w:rsidRPr="009808F5" w:rsidRDefault="009808F5" w:rsidP="00E64C0B">
            <w:pPr>
              <w:rPr>
                <w:rFonts w:ascii="Arial" w:hAnsi="Arial" w:cs="Arial"/>
                <w:b/>
                <w:bCs/>
                <w:color w:val="808080" w:themeColor="background1" w:themeShade="80"/>
              </w:rPr>
            </w:pPr>
            <w:r w:rsidRPr="009808F5">
              <w:rPr>
                <w:rFonts w:ascii="Arial" w:hAnsi="Arial" w:cs="Arial"/>
                <w:b/>
                <w:bCs/>
              </w:rPr>
              <w:t>Design verification and validation</w:t>
            </w:r>
          </w:p>
        </w:tc>
        <w:tc>
          <w:tcPr>
            <w:tcW w:w="4341" w:type="dxa"/>
          </w:tcPr>
          <w:p w14:paraId="7FA81C0D" w14:textId="4B8AAC3C" w:rsidR="009808F5" w:rsidRPr="009808F5" w:rsidRDefault="009808F5" w:rsidP="00E64C0B">
            <w:pPr>
              <w:rPr>
                <w:rFonts w:ascii="Arial" w:hAnsi="Arial" w:cs="Arial"/>
                <w:b/>
                <w:bCs/>
                <w:color w:val="808080" w:themeColor="background1" w:themeShade="80"/>
              </w:rPr>
            </w:pPr>
            <w:r w:rsidRPr="009808F5">
              <w:rPr>
                <w:rFonts w:ascii="Arial" w:hAnsi="Arial" w:cs="Arial"/>
                <w:b/>
                <w:bCs/>
              </w:rPr>
              <w:t>Filename of report</w:t>
            </w:r>
            <w:r>
              <w:rPr>
                <w:rFonts w:ascii="Arial" w:hAnsi="Arial" w:cs="Arial"/>
                <w:b/>
                <w:bCs/>
              </w:rPr>
              <w:t>(s)</w:t>
            </w:r>
          </w:p>
        </w:tc>
        <w:tc>
          <w:tcPr>
            <w:tcW w:w="6865" w:type="dxa"/>
          </w:tcPr>
          <w:p w14:paraId="0E40168A" w14:textId="371221EB" w:rsidR="009808F5" w:rsidRPr="009808F5" w:rsidRDefault="009808F5" w:rsidP="00E64C0B">
            <w:pPr>
              <w:rPr>
                <w:rFonts w:ascii="Arial" w:hAnsi="Arial" w:cs="Arial"/>
                <w:b/>
                <w:bCs/>
                <w:color w:val="808080" w:themeColor="background1" w:themeShade="80"/>
              </w:rPr>
            </w:pPr>
            <w:r w:rsidRPr="009808F5">
              <w:rPr>
                <w:rFonts w:ascii="Arial" w:hAnsi="Arial" w:cs="Arial"/>
                <w:b/>
                <w:bCs/>
              </w:rPr>
              <w:t xml:space="preserve">Justification </w:t>
            </w:r>
          </w:p>
        </w:tc>
      </w:tr>
      <w:tr w:rsidR="009808F5" w14:paraId="2566F373" w14:textId="4BAD6C59" w:rsidTr="00BD6615">
        <w:tc>
          <w:tcPr>
            <w:tcW w:w="2742" w:type="dxa"/>
          </w:tcPr>
          <w:p w14:paraId="60A1F989" w14:textId="5C7CAF35" w:rsidR="009808F5" w:rsidRPr="002A34C8" w:rsidRDefault="00CB79E7" w:rsidP="00E64C0B">
            <w:pPr>
              <w:rPr>
                <w:rFonts w:ascii="Arial" w:hAnsi="Arial" w:cs="Arial"/>
                <w:color w:val="808080" w:themeColor="background1" w:themeShade="80"/>
              </w:rPr>
            </w:pPr>
            <w:r>
              <w:rPr>
                <w:rFonts w:ascii="Arial" w:hAnsi="Arial" w:cs="Arial"/>
                <w:color w:val="808080" w:themeColor="background1" w:themeShade="80"/>
              </w:rPr>
              <w:t xml:space="preserve">E.g. </w:t>
            </w:r>
            <w:r w:rsidR="009808F5" w:rsidRPr="002A34C8">
              <w:rPr>
                <w:rFonts w:ascii="Arial" w:hAnsi="Arial" w:cs="Arial"/>
                <w:color w:val="808080" w:themeColor="background1" w:themeShade="80"/>
              </w:rPr>
              <w:t xml:space="preserve">Biocompatibility </w:t>
            </w:r>
          </w:p>
        </w:tc>
        <w:tc>
          <w:tcPr>
            <w:tcW w:w="4341" w:type="dxa"/>
          </w:tcPr>
          <w:p w14:paraId="40EED4CF" w14:textId="6EFA94B3" w:rsidR="009808F5" w:rsidRDefault="009808F5" w:rsidP="00E64C0B">
            <w:pPr>
              <w:rPr>
                <w:rFonts w:ascii="Arial" w:hAnsi="Arial" w:cs="Arial"/>
                <w:color w:val="808080" w:themeColor="background1" w:themeShade="80"/>
              </w:rPr>
            </w:pPr>
            <w:r>
              <w:rPr>
                <w:rFonts w:ascii="Arial" w:hAnsi="Arial" w:cs="Arial"/>
                <w:color w:val="808080" w:themeColor="background1" w:themeShade="80"/>
              </w:rPr>
              <w:t xml:space="preserve">List the exact filename of the report submitted in the application of the </w:t>
            </w:r>
            <w:r w:rsidR="00903C76">
              <w:rPr>
                <w:rFonts w:ascii="Arial" w:hAnsi="Arial" w:cs="Arial"/>
                <w:color w:val="808080" w:themeColor="background1" w:themeShade="80"/>
              </w:rPr>
              <w:t>registered</w:t>
            </w:r>
            <w:r>
              <w:rPr>
                <w:rFonts w:ascii="Arial" w:hAnsi="Arial" w:cs="Arial"/>
                <w:color w:val="808080" w:themeColor="background1" w:themeShade="80"/>
              </w:rPr>
              <w:t xml:space="preserve"> device</w:t>
            </w:r>
            <w:r w:rsidR="00CB79E7">
              <w:rPr>
                <w:rFonts w:ascii="Arial" w:hAnsi="Arial" w:cs="Arial"/>
                <w:color w:val="808080" w:themeColor="background1" w:themeShade="80"/>
              </w:rPr>
              <w:t>(s)</w:t>
            </w:r>
            <w:r>
              <w:rPr>
                <w:rFonts w:ascii="Arial" w:hAnsi="Arial" w:cs="Arial"/>
                <w:color w:val="808080" w:themeColor="background1" w:themeShade="80"/>
              </w:rPr>
              <w:t xml:space="preserve">. This same document </w:t>
            </w:r>
            <w:r w:rsidR="001C2EA4">
              <w:rPr>
                <w:rFonts w:ascii="Arial" w:hAnsi="Arial" w:cs="Arial"/>
                <w:color w:val="808080" w:themeColor="background1" w:themeShade="80"/>
              </w:rPr>
              <w:t xml:space="preserve">with </w:t>
            </w:r>
            <w:r>
              <w:rPr>
                <w:rFonts w:ascii="Arial" w:hAnsi="Arial" w:cs="Arial"/>
                <w:color w:val="808080" w:themeColor="background1" w:themeShade="80"/>
              </w:rPr>
              <w:t xml:space="preserve">the same filename is to be submitted in the premarket application of the </w:t>
            </w:r>
            <w:r w:rsidR="003766F1">
              <w:rPr>
                <w:rFonts w:ascii="Arial" w:hAnsi="Arial" w:cs="Arial"/>
                <w:color w:val="808080" w:themeColor="background1" w:themeShade="80"/>
              </w:rPr>
              <w:t xml:space="preserve">next generation </w:t>
            </w:r>
            <w:r w:rsidR="00903C76">
              <w:rPr>
                <w:rFonts w:ascii="Arial" w:hAnsi="Arial" w:cs="Arial"/>
                <w:color w:val="808080" w:themeColor="background1" w:themeShade="80"/>
              </w:rPr>
              <w:t>device</w:t>
            </w:r>
            <w:r w:rsidR="00BD6615">
              <w:rPr>
                <w:rFonts w:ascii="Arial" w:hAnsi="Arial" w:cs="Arial"/>
                <w:color w:val="808080" w:themeColor="background1" w:themeShade="80"/>
              </w:rPr>
              <w:t>.</w:t>
            </w:r>
          </w:p>
        </w:tc>
        <w:tc>
          <w:tcPr>
            <w:tcW w:w="6865" w:type="dxa"/>
          </w:tcPr>
          <w:p w14:paraId="3C0D2F16" w14:textId="39AB38A2" w:rsidR="00CB79E7" w:rsidRDefault="001C2EA4" w:rsidP="00CB79E7">
            <w:pPr>
              <w:rPr>
                <w:rFonts w:ascii="Arial" w:hAnsi="Arial" w:cs="Arial"/>
                <w:color w:val="808080" w:themeColor="background1" w:themeShade="80"/>
              </w:rPr>
            </w:pPr>
            <w:r>
              <w:rPr>
                <w:rFonts w:ascii="Arial" w:hAnsi="Arial" w:cs="Arial"/>
                <w:color w:val="808080" w:themeColor="background1" w:themeShade="80"/>
              </w:rPr>
              <w:t xml:space="preserve">A detailed critical analysis on why the </w:t>
            </w:r>
            <w:r w:rsidR="003766F1">
              <w:rPr>
                <w:rFonts w:ascii="Arial" w:hAnsi="Arial" w:cs="Arial"/>
                <w:color w:val="808080" w:themeColor="background1" w:themeShade="80"/>
              </w:rPr>
              <w:t xml:space="preserve">next generation </w:t>
            </w:r>
            <w:r>
              <w:rPr>
                <w:rFonts w:ascii="Arial" w:hAnsi="Arial" w:cs="Arial"/>
                <w:color w:val="808080" w:themeColor="background1" w:themeShade="80"/>
              </w:rPr>
              <w:t>device</w:t>
            </w:r>
            <w:r w:rsidR="00903C76">
              <w:rPr>
                <w:rFonts w:ascii="Arial" w:hAnsi="Arial" w:cs="Arial"/>
                <w:color w:val="808080" w:themeColor="background1" w:themeShade="80"/>
              </w:rPr>
              <w:t xml:space="preserve"> </w:t>
            </w:r>
            <w:r>
              <w:rPr>
                <w:rFonts w:ascii="Arial" w:hAnsi="Arial" w:cs="Arial"/>
                <w:color w:val="808080" w:themeColor="background1" w:themeShade="80"/>
              </w:rPr>
              <w:t>may leverage on the data of the registered device</w:t>
            </w:r>
            <w:r w:rsidR="00CB79E7">
              <w:rPr>
                <w:rFonts w:ascii="Arial" w:hAnsi="Arial" w:cs="Arial"/>
                <w:color w:val="808080" w:themeColor="background1" w:themeShade="80"/>
              </w:rPr>
              <w:t>(s)</w:t>
            </w:r>
            <w:r w:rsidR="00903C76">
              <w:rPr>
                <w:rFonts w:ascii="Arial" w:hAnsi="Arial" w:cs="Arial"/>
                <w:color w:val="808080" w:themeColor="background1" w:themeShade="80"/>
              </w:rPr>
              <w:t xml:space="preserve">. </w:t>
            </w:r>
            <w:r w:rsidR="00CB79E7">
              <w:rPr>
                <w:rFonts w:ascii="Arial" w:hAnsi="Arial" w:cs="Arial"/>
                <w:color w:val="808080" w:themeColor="background1" w:themeShade="80"/>
              </w:rPr>
              <w:t>If multiple registered devices and/or device listings are to be leveraged on, please specify the device name and the associated device listing in the table to facilitate review</w:t>
            </w:r>
            <w:r w:rsidR="00BD6615">
              <w:rPr>
                <w:rFonts w:ascii="Arial" w:hAnsi="Arial" w:cs="Arial"/>
                <w:color w:val="808080" w:themeColor="background1" w:themeShade="80"/>
              </w:rPr>
              <w:t>.</w:t>
            </w:r>
          </w:p>
          <w:p w14:paraId="57225F5B" w14:textId="60D43A7A" w:rsidR="009808F5" w:rsidRDefault="009808F5" w:rsidP="00E64C0B">
            <w:pPr>
              <w:rPr>
                <w:rFonts w:ascii="Arial" w:hAnsi="Arial" w:cs="Arial"/>
                <w:color w:val="808080" w:themeColor="background1" w:themeShade="80"/>
              </w:rPr>
            </w:pPr>
          </w:p>
        </w:tc>
      </w:tr>
      <w:tr w:rsidR="009808F5" w14:paraId="5E161733" w14:textId="5CB11BC5" w:rsidTr="00BD6615">
        <w:tc>
          <w:tcPr>
            <w:tcW w:w="2742" w:type="dxa"/>
          </w:tcPr>
          <w:p w14:paraId="79964BFB" w14:textId="0140C2B1" w:rsidR="009808F5" w:rsidRPr="002A34C8" w:rsidRDefault="009808F5" w:rsidP="00E64C0B">
            <w:pPr>
              <w:rPr>
                <w:rFonts w:ascii="Arial" w:hAnsi="Arial" w:cs="Arial"/>
                <w:color w:val="808080" w:themeColor="background1" w:themeShade="80"/>
              </w:rPr>
            </w:pPr>
            <w:r w:rsidRPr="002A34C8">
              <w:rPr>
                <w:rFonts w:ascii="Arial" w:hAnsi="Arial" w:cs="Arial"/>
                <w:color w:val="808080" w:themeColor="background1" w:themeShade="80"/>
              </w:rPr>
              <w:t xml:space="preserve">Sterilization </w:t>
            </w:r>
          </w:p>
        </w:tc>
        <w:tc>
          <w:tcPr>
            <w:tcW w:w="4341" w:type="dxa"/>
          </w:tcPr>
          <w:p w14:paraId="15EDC7C9" w14:textId="77777777" w:rsidR="009808F5" w:rsidRDefault="009808F5" w:rsidP="00E64C0B">
            <w:pPr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6865" w:type="dxa"/>
          </w:tcPr>
          <w:p w14:paraId="11833C1F" w14:textId="77777777" w:rsidR="009808F5" w:rsidRDefault="009808F5" w:rsidP="00E64C0B">
            <w:pPr>
              <w:rPr>
                <w:rFonts w:ascii="Arial" w:hAnsi="Arial" w:cs="Arial"/>
                <w:color w:val="808080" w:themeColor="background1" w:themeShade="80"/>
              </w:rPr>
            </w:pPr>
          </w:p>
        </w:tc>
      </w:tr>
      <w:tr w:rsidR="009808F5" w14:paraId="2249B60D" w14:textId="72A625C9" w:rsidTr="00BD6615">
        <w:tc>
          <w:tcPr>
            <w:tcW w:w="2742" w:type="dxa"/>
          </w:tcPr>
          <w:p w14:paraId="1084EDAD" w14:textId="4AE8D78D" w:rsidR="009808F5" w:rsidRPr="002A34C8" w:rsidRDefault="009808F5" w:rsidP="00E64C0B">
            <w:pPr>
              <w:rPr>
                <w:rFonts w:ascii="Arial" w:hAnsi="Arial" w:cs="Arial"/>
                <w:color w:val="808080" w:themeColor="background1" w:themeShade="80"/>
              </w:rPr>
            </w:pPr>
            <w:r w:rsidRPr="002A34C8">
              <w:rPr>
                <w:rFonts w:ascii="Arial" w:hAnsi="Arial" w:cs="Arial"/>
                <w:color w:val="808080" w:themeColor="background1" w:themeShade="80"/>
              </w:rPr>
              <w:t xml:space="preserve">Shelf-life </w:t>
            </w:r>
          </w:p>
        </w:tc>
        <w:tc>
          <w:tcPr>
            <w:tcW w:w="4341" w:type="dxa"/>
          </w:tcPr>
          <w:p w14:paraId="569EB9C6" w14:textId="77777777" w:rsidR="009808F5" w:rsidRDefault="009808F5" w:rsidP="00E64C0B">
            <w:pPr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6865" w:type="dxa"/>
          </w:tcPr>
          <w:p w14:paraId="6B047685" w14:textId="77777777" w:rsidR="009808F5" w:rsidRDefault="009808F5" w:rsidP="00E64C0B">
            <w:pPr>
              <w:rPr>
                <w:rFonts w:ascii="Arial" w:hAnsi="Arial" w:cs="Arial"/>
                <w:color w:val="808080" w:themeColor="background1" w:themeShade="80"/>
              </w:rPr>
            </w:pPr>
          </w:p>
        </w:tc>
      </w:tr>
      <w:tr w:rsidR="009808F5" w14:paraId="781F0CAC" w14:textId="2543B8BD" w:rsidTr="00BD6615">
        <w:tc>
          <w:tcPr>
            <w:tcW w:w="2742" w:type="dxa"/>
          </w:tcPr>
          <w:p w14:paraId="00D9D164" w14:textId="6D70D97C" w:rsidR="009808F5" w:rsidRPr="002A34C8" w:rsidRDefault="002A34C8" w:rsidP="00E64C0B">
            <w:pPr>
              <w:rPr>
                <w:rFonts w:ascii="Arial" w:hAnsi="Arial" w:cs="Arial"/>
                <w:color w:val="808080" w:themeColor="background1" w:themeShade="80"/>
              </w:rPr>
            </w:pPr>
            <w:r w:rsidRPr="002A34C8">
              <w:rPr>
                <w:rFonts w:ascii="Arial" w:hAnsi="Arial" w:cs="Arial"/>
                <w:color w:val="808080" w:themeColor="background1" w:themeShade="80"/>
              </w:rPr>
              <w:t>Analytical Sensitivity</w:t>
            </w:r>
          </w:p>
        </w:tc>
        <w:tc>
          <w:tcPr>
            <w:tcW w:w="4341" w:type="dxa"/>
          </w:tcPr>
          <w:p w14:paraId="3F429370" w14:textId="77777777" w:rsidR="009808F5" w:rsidRDefault="009808F5" w:rsidP="00E64C0B">
            <w:pPr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6865" w:type="dxa"/>
          </w:tcPr>
          <w:p w14:paraId="3212FE35" w14:textId="77777777" w:rsidR="009808F5" w:rsidRDefault="009808F5" w:rsidP="00E64C0B">
            <w:pPr>
              <w:rPr>
                <w:rFonts w:ascii="Arial" w:hAnsi="Arial" w:cs="Arial"/>
                <w:color w:val="808080" w:themeColor="background1" w:themeShade="80"/>
              </w:rPr>
            </w:pPr>
          </w:p>
        </w:tc>
      </w:tr>
      <w:tr w:rsidR="009808F5" w14:paraId="0F1C34E6" w14:textId="1DAEFF0A" w:rsidTr="00BD6615">
        <w:tc>
          <w:tcPr>
            <w:tcW w:w="2742" w:type="dxa"/>
          </w:tcPr>
          <w:p w14:paraId="5A3617BF" w14:textId="7AA7FCBF" w:rsidR="009808F5" w:rsidRDefault="002A34C8" w:rsidP="00E64C0B">
            <w:pPr>
              <w:rPr>
                <w:rFonts w:ascii="Arial" w:hAnsi="Arial" w:cs="Arial"/>
                <w:color w:val="808080" w:themeColor="background1" w:themeShade="80"/>
              </w:rPr>
            </w:pPr>
            <w:r w:rsidRPr="002A34C8">
              <w:rPr>
                <w:rFonts w:ascii="Arial" w:hAnsi="Arial" w:cs="Arial"/>
                <w:color w:val="808080" w:themeColor="background1" w:themeShade="80"/>
              </w:rPr>
              <w:t>Analytical Specificity</w:t>
            </w:r>
          </w:p>
        </w:tc>
        <w:tc>
          <w:tcPr>
            <w:tcW w:w="4341" w:type="dxa"/>
          </w:tcPr>
          <w:p w14:paraId="6839DE90" w14:textId="77777777" w:rsidR="009808F5" w:rsidRDefault="009808F5" w:rsidP="00E64C0B">
            <w:pPr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6865" w:type="dxa"/>
          </w:tcPr>
          <w:p w14:paraId="5D7AD68F" w14:textId="77777777" w:rsidR="009808F5" w:rsidRDefault="009808F5" w:rsidP="00E64C0B">
            <w:pPr>
              <w:rPr>
                <w:rFonts w:ascii="Arial" w:hAnsi="Arial" w:cs="Arial"/>
                <w:color w:val="808080" w:themeColor="background1" w:themeShade="80"/>
              </w:rPr>
            </w:pPr>
          </w:p>
        </w:tc>
      </w:tr>
    </w:tbl>
    <w:p w14:paraId="71696F1E" w14:textId="77777777" w:rsidR="009808F5" w:rsidRDefault="009808F5" w:rsidP="00E64C0B">
      <w:pPr>
        <w:rPr>
          <w:rFonts w:ascii="Arial" w:hAnsi="Arial" w:cs="Arial"/>
          <w:color w:val="808080" w:themeColor="background1" w:themeShade="80"/>
        </w:rPr>
      </w:pPr>
    </w:p>
    <w:p w14:paraId="541977C3" w14:textId="77777777" w:rsidR="00E64C0B" w:rsidRDefault="00E64C0B" w:rsidP="00E64C0B">
      <w:pPr>
        <w:rPr>
          <w:rFonts w:ascii="Arial" w:hAnsi="Arial" w:cs="Arial"/>
          <w:color w:val="808080" w:themeColor="background1" w:themeShade="80"/>
        </w:rPr>
      </w:pPr>
    </w:p>
    <w:p w14:paraId="15E85004" w14:textId="77777777" w:rsidR="00E64C0B" w:rsidRPr="00E64C0B" w:rsidRDefault="00E64C0B" w:rsidP="00E64C0B">
      <w:pPr>
        <w:rPr>
          <w:rFonts w:ascii="Arial" w:hAnsi="Arial" w:cs="Arial"/>
          <w:color w:val="808080" w:themeColor="background1" w:themeShade="80"/>
        </w:rPr>
      </w:pPr>
    </w:p>
    <w:p w14:paraId="79747EB6" w14:textId="77777777" w:rsidR="00C353DE" w:rsidRPr="0053589A" w:rsidRDefault="00C353DE" w:rsidP="0053589A">
      <w:pPr>
        <w:rPr>
          <w:rFonts w:ascii="Arial" w:hAnsi="Arial" w:cs="Arial"/>
          <w:color w:val="808080" w:themeColor="background1" w:themeShade="80"/>
        </w:rPr>
      </w:pPr>
    </w:p>
    <w:sectPr w:rsidR="00C353DE" w:rsidRPr="0053589A" w:rsidSect="00177AF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91525" w14:textId="77777777" w:rsidR="005A51F0" w:rsidRDefault="005A51F0" w:rsidP="00BA43ED">
      <w:pPr>
        <w:spacing w:after="0" w:line="240" w:lineRule="auto"/>
      </w:pPr>
      <w:r>
        <w:separator/>
      </w:r>
    </w:p>
  </w:endnote>
  <w:endnote w:type="continuationSeparator" w:id="0">
    <w:p w14:paraId="51B7CEE4" w14:textId="77777777" w:rsidR="005A51F0" w:rsidRDefault="005A51F0" w:rsidP="00BA4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94AFA" w14:textId="77777777" w:rsidR="005A51F0" w:rsidRDefault="005A51F0" w:rsidP="00BA43ED">
      <w:pPr>
        <w:spacing w:after="0" w:line="240" w:lineRule="auto"/>
      </w:pPr>
      <w:r>
        <w:separator/>
      </w:r>
    </w:p>
  </w:footnote>
  <w:footnote w:type="continuationSeparator" w:id="0">
    <w:p w14:paraId="53639691" w14:textId="77777777" w:rsidR="005A51F0" w:rsidRDefault="005A51F0" w:rsidP="00BA43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07F00"/>
    <w:multiLevelType w:val="hybridMultilevel"/>
    <w:tmpl w:val="0DE2FECE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770AF"/>
    <w:multiLevelType w:val="hybridMultilevel"/>
    <w:tmpl w:val="608C3A48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D824FF"/>
    <w:multiLevelType w:val="hybridMultilevel"/>
    <w:tmpl w:val="1D0A4ABA"/>
    <w:lvl w:ilvl="0" w:tplc="28B2862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F5090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C48103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A046254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72C60A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1D6DE3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B8F0478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3A8655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91A2A08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F57074"/>
    <w:multiLevelType w:val="hybridMultilevel"/>
    <w:tmpl w:val="B77C82DA"/>
    <w:lvl w:ilvl="0" w:tplc="4FFA81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69A955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3A49B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726B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AE81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0419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261F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E686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5C79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D5819CF"/>
    <w:multiLevelType w:val="hybridMultilevel"/>
    <w:tmpl w:val="E322553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D03CD7"/>
    <w:multiLevelType w:val="hybridMultilevel"/>
    <w:tmpl w:val="1A9A05BC"/>
    <w:lvl w:ilvl="0" w:tplc="4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2A548D"/>
    <w:multiLevelType w:val="hybridMultilevel"/>
    <w:tmpl w:val="E322553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102694">
    <w:abstractNumId w:val="3"/>
  </w:num>
  <w:num w:numId="2" w16cid:durableId="1949968056">
    <w:abstractNumId w:val="1"/>
  </w:num>
  <w:num w:numId="3" w16cid:durableId="478304391">
    <w:abstractNumId w:val="0"/>
  </w:num>
  <w:num w:numId="4" w16cid:durableId="2003317979">
    <w:abstractNumId w:val="5"/>
  </w:num>
  <w:num w:numId="5" w16cid:durableId="1969893457">
    <w:abstractNumId w:val="6"/>
  </w:num>
  <w:num w:numId="6" w16cid:durableId="1850362122">
    <w:abstractNumId w:val="2"/>
  </w:num>
  <w:num w:numId="7" w16cid:durableId="13015690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41A"/>
    <w:rsid w:val="0005431E"/>
    <w:rsid w:val="00127A6D"/>
    <w:rsid w:val="0014176B"/>
    <w:rsid w:val="00174D59"/>
    <w:rsid w:val="00177AFB"/>
    <w:rsid w:val="001A68C9"/>
    <w:rsid w:val="001C2EA4"/>
    <w:rsid w:val="002A34C8"/>
    <w:rsid w:val="003517E1"/>
    <w:rsid w:val="003766F1"/>
    <w:rsid w:val="00484E32"/>
    <w:rsid w:val="004E5285"/>
    <w:rsid w:val="00526ECF"/>
    <w:rsid w:val="0053589A"/>
    <w:rsid w:val="00552F72"/>
    <w:rsid w:val="005A51F0"/>
    <w:rsid w:val="005D0D1F"/>
    <w:rsid w:val="005D6A6B"/>
    <w:rsid w:val="00612617"/>
    <w:rsid w:val="00656C89"/>
    <w:rsid w:val="0066065C"/>
    <w:rsid w:val="006B541A"/>
    <w:rsid w:val="00714302"/>
    <w:rsid w:val="00780543"/>
    <w:rsid w:val="00805BC8"/>
    <w:rsid w:val="00847DF7"/>
    <w:rsid w:val="008D34CC"/>
    <w:rsid w:val="00903C76"/>
    <w:rsid w:val="00932013"/>
    <w:rsid w:val="009808F5"/>
    <w:rsid w:val="009B33AA"/>
    <w:rsid w:val="00A1522E"/>
    <w:rsid w:val="00A6714B"/>
    <w:rsid w:val="00A760A3"/>
    <w:rsid w:val="00B249A3"/>
    <w:rsid w:val="00B82A2F"/>
    <w:rsid w:val="00BA43ED"/>
    <w:rsid w:val="00BC0E4F"/>
    <w:rsid w:val="00BD6615"/>
    <w:rsid w:val="00C353DE"/>
    <w:rsid w:val="00CB79E7"/>
    <w:rsid w:val="00CC5AEC"/>
    <w:rsid w:val="00D65EC3"/>
    <w:rsid w:val="00DC0CC8"/>
    <w:rsid w:val="00E40E17"/>
    <w:rsid w:val="00E450C3"/>
    <w:rsid w:val="00E64C0B"/>
    <w:rsid w:val="00EA051C"/>
    <w:rsid w:val="00EF2EE1"/>
    <w:rsid w:val="00F5673A"/>
    <w:rsid w:val="00F81C0F"/>
    <w:rsid w:val="00FE2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7EEB08"/>
  <w15:chartTrackingRefBased/>
  <w15:docId w15:val="{53475F03-184E-4091-92DB-1BCAE31F4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SG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2617"/>
  </w:style>
  <w:style w:type="paragraph" w:styleId="Heading1">
    <w:name w:val="heading 1"/>
    <w:basedOn w:val="Normal"/>
    <w:next w:val="Normal"/>
    <w:link w:val="Heading1Char"/>
    <w:uiPriority w:val="9"/>
    <w:qFormat/>
    <w:rsid w:val="005358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84E32"/>
    <w:pPr>
      <w:spacing w:after="0" w:line="240" w:lineRule="auto"/>
    </w:pPr>
  </w:style>
  <w:style w:type="table" w:styleId="TableGrid">
    <w:name w:val="Table Grid"/>
    <w:basedOn w:val="TableNormal"/>
    <w:uiPriority w:val="39"/>
    <w:rsid w:val="00484E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5358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C353D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A43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43ED"/>
  </w:style>
  <w:style w:type="paragraph" w:styleId="Footer">
    <w:name w:val="footer"/>
    <w:basedOn w:val="Normal"/>
    <w:link w:val="FooterChar"/>
    <w:uiPriority w:val="99"/>
    <w:unhideWhenUsed/>
    <w:rsid w:val="00BA43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43ED"/>
  </w:style>
  <w:style w:type="paragraph" w:styleId="Revision">
    <w:name w:val="Revision"/>
    <w:hidden/>
    <w:uiPriority w:val="99"/>
    <w:semiHidden/>
    <w:rsid w:val="00F81C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1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74109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31010">
          <w:marLeft w:val="547"/>
          <w:marRight w:val="0"/>
          <w:marTop w:val="0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39544">
          <w:marLeft w:val="547"/>
          <w:marRight w:val="0"/>
          <w:marTop w:val="0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4268">
          <w:marLeft w:val="547"/>
          <w:marRight w:val="0"/>
          <w:marTop w:val="0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4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7275">
          <w:marLeft w:val="547"/>
          <w:marRight w:val="0"/>
          <w:marTop w:val="0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Yen Fang LIM (HSA)</dc:creator>
  <cp:keywords/>
  <dc:description/>
  <cp:lastModifiedBy>Agnes GOH (HSA)</cp:lastModifiedBy>
  <cp:revision>4</cp:revision>
  <dcterms:created xsi:type="dcterms:W3CDTF">2024-06-05T23:36:00Z</dcterms:created>
  <dcterms:modified xsi:type="dcterms:W3CDTF">2024-06-06T07:56:00Z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434c4c7-833e-41e4-b0ab-cdb227a2f6f7_Enabled">
    <vt:lpwstr>true</vt:lpwstr>
  </property>
  <property fmtid="{D5CDD505-2E9C-101B-9397-08002B2CF9AE}" pid="3" name="MSIP_Label_5434c4c7-833e-41e4-b0ab-cdb227a2f6f7_SetDate">
    <vt:lpwstr>2024-06-19T03:14:11Z</vt:lpwstr>
  </property>
  <property fmtid="{D5CDD505-2E9C-101B-9397-08002B2CF9AE}" pid="4" name="MSIP_Label_5434c4c7-833e-41e4-b0ab-cdb227a2f6f7_Method">
    <vt:lpwstr>Privileged</vt:lpwstr>
  </property>
  <property fmtid="{D5CDD505-2E9C-101B-9397-08002B2CF9AE}" pid="5" name="MSIP_Label_5434c4c7-833e-41e4-b0ab-cdb227a2f6f7_Name">
    <vt:lpwstr>Official (Open)</vt:lpwstr>
  </property>
  <property fmtid="{D5CDD505-2E9C-101B-9397-08002B2CF9AE}" pid="6" name="MSIP_Label_5434c4c7-833e-41e4-b0ab-cdb227a2f6f7_SiteId">
    <vt:lpwstr>0b11c524-9a1c-4e1b-84cb-6336aefc2243</vt:lpwstr>
  </property>
  <property fmtid="{D5CDD505-2E9C-101B-9397-08002B2CF9AE}" pid="7" name="MSIP_Label_5434c4c7-833e-41e4-b0ab-cdb227a2f6f7_ActionId">
    <vt:lpwstr>cae9722c-3bf7-45ee-a688-439926e72005</vt:lpwstr>
  </property>
  <property fmtid="{D5CDD505-2E9C-101B-9397-08002B2CF9AE}" pid="8" name="MSIP_Label_5434c4c7-833e-41e4-b0ab-cdb227a2f6f7_ContentBits">
    <vt:lpwstr>0</vt:lpwstr>
  </property>
</Properties>
</file>